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2" w:rsidRPr="00253206" w:rsidRDefault="00EE3A22" w:rsidP="004558F3">
      <w:pPr>
        <w:tabs>
          <w:tab w:val="left" w:pos="4065"/>
        </w:tabs>
        <w:contextualSpacing/>
        <w:rPr>
          <w:rFonts w:ascii="Arial" w:hAnsi="Arial" w:cs="Arial"/>
          <w:sz w:val="2"/>
          <w:szCs w:val="24"/>
        </w:rPr>
        <w:sectPr w:rsidR="00EE3A22" w:rsidRPr="00253206" w:rsidSect="00D96820">
          <w:footerReference w:type="default" r:id="rId7"/>
          <w:headerReference w:type="first" r:id="rId8"/>
          <w:footerReference w:type="first" r:id="rId9"/>
          <w:pgSz w:w="12240" w:h="15840"/>
          <w:pgMar w:top="2880" w:right="720" w:bottom="1440" w:left="720" w:header="720" w:footer="720" w:gutter="0"/>
          <w:cols w:space="720"/>
          <w:titlePg/>
          <w:docGrid w:linePitch="360"/>
        </w:sectPr>
      </w:pPr>
    </w:p>
    <w:p w:rsidR="00712C18" w:rsidRPr="00712C18" w:rsidRDefault="00712C18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snapToGrid w:val="0"/>
          <w:color w:val="000000"/>
          <w:sz w:val="6"/>
          <w:szCs w:val="24"/>
        </w:rPr>
      </w:pP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Physical disabilities are broad in nature. A student may have a back problem that affects sitting or walking, have a chronic medical condition leading to physical problems, have small amputations such as fingers or toes, or have a disability that necessitates the use of a wheelchair for mobility and/or a personal assistant for care.</w:t>
      </w: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16"/>
          <w:szCs w:val="24"/>
        </w:rPr>
      </w:pP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Mobility disabilities are wide-ranging, occurring from a variety of causes including but not limited to back problems, chronic health issues, amputations, stature, and other causes. The effects range from affecting length or type of terrain a student can walk, to needing to use crutches or canes, to needing to use a wheel chair. In all cases, the tool to assist ambulation may be situational or permanent.</w:t>
      </w: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16"/>
          <w:szCs w:val="24"/>
        </w:rPr>
      </w:pPr>
    </w:p>
    <w:p w:rsid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Some examples of possible accommodations that a student with a physical or mobility disability may require include (but are not limited to):</w:t>
      </w: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16"/>
          <w:szCs w:val="24"/>
        </w:rPr>
      </w:pP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“Dear Professor Memos” verifying the need for accommodations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Priority/early course registration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Relocating a class or lab to a building or classroom that is accessible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Provision of an accessible table and/or seat in the classroom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Accommodated testing for in-class and online exams and quizzes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Note-taking services and/or the use of an audio recorder for class lectures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Allowance of laptops, tablets, or assistive technology in the classroom</w:t>
      </w:r>
    </w:p>
    <w:p w:rsidR="0072647F" w:rsidRPr="0072647F" w:rsidRDefault="0072647F" w:rsidP="0072647F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Regular advising meetings with an assigned D</w:t>
      </w: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  <w:vertAlign w:val="superscript"/>
        </w:rPr>
        <w:t>2</w:t>
      </w: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A</w:t>
      </w: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  <w:vertAlign w:val="superscript"/>
        </w:rPr>
        <w:t>2</w:t>
      </w: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 xml:space="preserve"> advisor</w:t>
      </w: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16"/>
          <w:szCs w:val="24"/>
        </w:rPr>
      </w:pP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When interacting with individuals with physical or mobility disabilities, follow these guidelines:</w:t>
      </w:r>
    </w:p>
    <w:p w:rsidR="0072647F" w:rsidRPr="0072647F" w:rsidRDefault="0072647F" w:rsidP="0072647F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16"/>
          <w:szCs w:val="24"/>
        </w:rPr>
      </w:pP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Allow for (occasional) tardiness in case of inclement weather. 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Do not offer to hold a cane or crutches unless the individual requests. 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When talking with a person who uses a wheelchair, sit down or kneel in order to place yourself at eye level if the conversation is more than a few minutes. </w:t>
      </w:r>
    </w:p>
    <w:p w:rsidR="0072647F" w:rsidRPr="0072647F" w:rsidRDefault="0072647F" w:rsidP="0072647F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Don’t touch or push a person’s wheelchair or other equipment without asking for permission or if they need help first. Likewise, </w:t>
      </w: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>don’t put your hand on or learn on a wheelchair as this is invading the individual’s body space.</w:t>
      </w:r>
    </w:p>
    <w:p w:rsidR="0072647F" w:rsidRPr="0072647F" w:rsidRDefault="0072647F" w:rsidP="0072647F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People are not confined to wheelchairs. Don’t assume that using a wheelchair is a tragedy – it is a means of transportation.</w:t>
      </w:r>
    </w:p>
    <w:p w:rsidR="0072647F" w:rsidRPr="0072647F" w:rsidRDefault="0072647F" w:rsidP="0072647F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Individuals who use wheelchairs often transfer to automobiles and furniture; d</w:t>
      </w: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>on’t move a wheelchair away if the user transfers out of the chair.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Some individuals with physical or mobility disabilities use a wheelchair only some of the time; however, this does not mean that they are "faking" a disability. It may be a means to conserve energy, to reduce pain, or to move about more quickly.</w:t>
      </w:r>
    </w:p>
    <w:p w:rsidR="0072647F" w:rsidRPr="0072647F" w:rsidRDefault="0072647F" w:rsidP="0072647F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>Do not speak loudly or slowly to a person who uses a wheelchair unless they need you to do so in order to communicate.</w:t>
      </w:r>
    </w:p>
    <w:p w:rsidR="0072647F" w:rsidRPr="0072647F" w:rsidRDefault="0072647F" w:rsidP="0072647F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 xml:space="preserve">Don’t assume that a person </w:t>
      </w: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  <w:u w:val="single"/>
        </w:rPr>
        <w:t>NEEDS</w:t>
      </w: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 xml:space="preserve"> help.</w:t>
      </w:r>
    </w:p>
    <w:p w:rsidR="0072647F" w:rsidRPr="0072647F" w:rsidRDefault="0072647F" w:rsidP="0072647F">
      <w:pPr>
        <w:widowControl w:val="0"/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lastRenderedPageBreak/>
        <w:t>The following are some considerations to keep in mind when working with students with physical disabilities or disabilities affecting mobility in the classroom:</w:t>
      </w:r>
    </w:p>
    <w:p w:rsidR="0072647F" w:rsidRPr="0072647F" w:rsidRDefault="0072647F" w:rsidP="0072647F">
      <w:pPr>
        <w:widowControl w:val="0"/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16"/>
          <w:szCs w:val="24"/>
        </w:rPr>
      </w:pP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Acquaint yourself with the location of the nearest accessible restroom and water fountain. 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Ensure that there are adequate pathways to your classroom and within your classroom.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Theater type classrooms may present difficulties unless there are flat spaces in the front or rear of the room large enough to accommodate a wheelchair. 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Ensure that there is space for a table. Tables are more accessible than standard desks, and should have an under-table clearance of at least 27 ½ inches. Let D</w:t>
      </w: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  <w:vertAlign w:val="superscript"/>
        </w:rPr>
        <w:t>2</w:t>
      </w: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A</w:t>
      </w: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  <w:vertAlign w:val="superscript"/>
        </w:rPr>
        <w:t>2</w:t>
      </w: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know if a table is needed.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If possible, avoid relegating students with physical or mobility disabilities to a doorway, side aisle, or back of the room</w:t>
      </w:r>
    </w:p>
    <w:p w:rsidR="0072647F" w:rsidRPr="0072647F" w:rsidRDefault="0072647F" w:rsidP="0072647F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snapToGrid w:val="0"/>
          <w:color w:val="000000"/>
          <w:sz w:val="24"/>
          <w:szCs w:val="24"/>
        </w:rPr>
        <w:t>Classes taught in a laboratory setting will usually require some modification of the workstation. Working directly with the student may be the best way to provide modifications to the workstation.</w:t>
      </w:r>
    </w:p>
    <w:p w:rsidR="0072647F" w:rsidRPr="001B3310" w:rsidRDefault="0072647F" w:rsidP="001B3310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Identify if the student will transfer from wheelchair to desk and ensure that the chair is nearby for transportation in case of an emergency.</w:t>
      </w:r>
      <w:bookmarkStart w:id="0" w:name="_GoBack"/>
      <w:bookmarkEnd w:id="0"/>
    </w:p>
    <w:p w:rsidR="0072647F" w:rsidRPr="0072647F" w:rsidRDefault="0072647F" w:rsidP="0072647F">
      <w:pPr>
        <w:widowControl w:val="0"/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72647F"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  <w:t>For fieldwork or field trips, assess the site for type of terrain and slope, and availability of ramps, accessible rest rooms and parking.</w:t>
      </w:r>
    </w:p>
    <w:p w:rsidR="008C6A97" w:rsidRDefault="008C6A97" w:rsidP="004558F3">
      <w:pPr>
        <w:tabs>
          <w:tab w:val="left" w:pos="4065"/>
        </w:tabs>
        <w:rPr>
          <w:rFonts w:ascii="Arial" w:hAnsi="Arial" w:cs="Arial"/>
          <w:b/>
          <w:sz w:val="28"/>
          <w:szCs w:val="24"/>
        </w:rPr>
      </w:pPr>
    </w:p>
    <w:p w:rsidR="009B6A03" w:rsidRPr="00253206" w:rsidRDefault="0067594C" w:rsidP="004558F3">
      <w:pPr>
        <w:tabs>
          <w:tab w:val="left" w:pos="4065"/>
        </w:tabs>
        <w:rPr>
          <w:rFonts w:ascii="Arial" w:hAnsi="Arial" w:cs="Arial"/>
          <w:b/>
          <w:sz w:val="28"/>
          <w:szCs w:val="24"/>
        </w:rPr>
      </w:pPr>
      <w:r w:rsidRPr="00253206">
        <w:rPr>
          <w:rFonts w:ascii="Arial" w:hAnsi="Arial" w:cs="Arial"/>
          <w:b/>
          <w:sz w:val="28"/>
          <w:szCs w:val="24"/>
        </w:rPr>
        <w:t>Additional Resources:</w:t>
      </w:r>
    </w:p>
    <w:p w:rsidR="009C47C3" w:rsidRPr="00253206" w:rsidRDefault="009C47C3" w:rsidP="009C47C3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9C47C3" w:rsidRPr="00253206" w:rsidTr="009C47C3">
        <w:tc>
          <w:tcPr>
            <w:tcW w:w="5035" w:type="dxa"/>
          </w:tcPr>
          <w:p w:rsidR="009C47C3" w:rsidRPr="00253206" w:rsidRDefault="004E5A85" w:rsidP="004E5A85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A85">
              <w:rPr>
                <w:rFonts w:ascii="Arial" w:hAnsi="Arial" w:cs="Arial"/>
                <w:sz w:val="24"/>
                <w:szCs w:val="24"/>
              </w:rPr>
              <w:t>Mobility Impairments (DO-IT, University of Washington)</w:t>
            </w:r>
          </w:p>
        </w:tc>
        <w:tc>
          <w:tcPr>
            <w:tcW w:w="5035" w:type="dxa"/>
          </w:tcPr>
          <w:p w:rsidR="00AC7196" w:rsidRDefault="001B3310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4E5A85" w:rsidRPr="00670E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https://www.washington.edu/doit/mobility-impairments</w:t>
              </w:r>
            </w:hyperlink>
          </w:p>
          <w:p w:rsidR="004E5A85" w:rsidRPr="00253206" w:rsidRDefault="004E5A85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9C47C3">
        <w:tc>
          <w:tcPr>
            <w:tcW w:w="5035" w:type="dxa"/>
          </w:tcPr>
          <w:p w:rsidR="009C47C3" w:rsidRPr="00253206" w:rsidRDefault="004E5A85" w:rsidP="004E5A85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A85">
              <w:rPr>
                <w:rFonts w:ascii="Arial" w:hAnsi="Arial" w:cs="Arial"/>
                <w:sz w:val="24"/>
                <w:szCs w:val="24"/>
              </w:rPr>
              <w:t>Teaching Students with Physical Disabilities (Accessible Campus, Council of Ontario Universities)</w:t>
            </w:r>
          </w:p>
        </w:tc>
        <w:tc>
          <w:tcPr>
            <w:tcW w:w="5035" w:type="dxa"/>
          </w:tcPr>
          <w:p w:rsidR="00AC7196" w:rsidRDefault="001B3310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E5A85" w:rsidRPr="00670E9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http://www.accessiblecampus.ca/tools-resources/educators-tool-kit/teaching-tips/teaching-students-with-physical-disabilities/</w:t>
              </w:r>
            </w:hyperlink>
          </w:p>
          <w:p w:rsidR="004E5A85" w:rsidRPr="00253206" w:rsidRDefault="004E5A85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9C47C3">
        <w:tc>
          <w:tcPr>
            <w:tcW w:w="5035" w:type="dxa"/>
          </w:tcPr>
          <w:p w:rsidR="009C47C3" w:rsidRPr="00253206" w:rsidRDefault="004E5A85" w:rsidP="004E5A85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A85">
              <w:rPr>
                <w:rFonts w:ascii="Arial" w:hAnsi="Arial" w:cs="Arial"/>
                <w:sz w:val="24"/>
                <w:szCs w:val="24"/>
              </w:rPr>
              <w:t>Physical Disability (Australian Disability Clearinghouse on Education and Training)</w:t>
            </w:r>
          </w:p>
        </w:tc>
        <w:tc>
          <w:tcPr>
            <w:tcW w:w="5035" w:type="dxa"/>
          </w:tcPr>
          <w:p w:rsidR="00AC7196" w:rsidRDefault="001B3310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E5A85" w:rsidRPr="00670E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https://www.adcet.edu.au/inclusive-teaching/specific-disabilities/physical-disability/</w:t>
              </w:r>
            </w:hyperlink>
          </w:p>
          <w:p w:rsidR="004E5A85" w:rsidRPr="00253206" w:rsidRDefault="004E5A85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7C3" w:rsidRPr="00253206" w:rsidTr="009C47C3">
        <w:tc>
          <w:tcPr>
            <w:tcW w:w="5035" w:type="dxa"/>
          </w:tcPr>
          <w:p w:rsidR="009C47C3" w:rsidRPr="00253206" w:rsidRDefault="004E5A85" w:rsidP="004E5A85">
            <w:pPr>
              <w:tabs>
                <w:tab w:val="left" w:pos="40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A85">
              <w:rPr>
                <w:rFonts w:ascii="Arial" w:hAnsi="Arial" w:cs="Arial"/>
                <w:sz w:val="24"/>
                <w:szCs w:val="24"/>
              </w:rPr>
              <w:t>Students who have Mobility or Dexterity Limitations (Allegheny College)</w:t>
            </w:r>
          </w:p>
        </w:tc>
        <w:tc>
          <w:tcPr>
            <w:tcW w:w="5035" w:type="dxa"/>
          </w:tcPr>
          <w:p w:rsidR="00AC7196" w:rsidRDefault="001B3310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E5A85" w:rsidRPr="00670E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https://sites.allegheny.edu/disabilityservices/students-who-have-mobility-or-dexterity-limitations/</w:t>
              </w:r>
            </w:hyperlink>
          </w:p>
          <w:p w:rsidR="004E5A85" w:rsidRPr="00253206" w:rsidRDefault="004E5A85" w:rsidP="004E5A8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7C3" w:rsidRPr="00253206" w:rsidRDefault="009C47C3" w:rsidP="004558F3">
      <w:pPr>
        <w:tabs>
          <w:tab w:val="left" w:pos="4065"/>
        </w:tabs>
        <w:rPr>
          <w:rFonts w:ascii="Arial" w:hAnsi="Arial" w:cs="Arial"/>
          <w:sz w:val="24"/>
          <w:szCs w:val="24"/>
        </w:rPr>
      </w:pPr>
    </w:p>
    <w:sectPr w:rsidR="009C47C3" w:rsidRPr="00253206" w:rsidSect="001F058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51" w:rsidRDefault="00147D51" w:rsidP="00147D51">
      <w:pPr>
        <w:spacing w:after="0" w:line="240" w:lineRule="auto"/>
      </w:pPr>
      <w:r>
        <w:separator/>
      </w:r>
    </w:p>
  </w:endnote>
  <w:endnote w:type="continuationSeparator" w:id="0">
    <w:p w:rsidR="00147D51" w:rsidRDefault="00147D51" w:rsidP="001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B" w:rsidRPr="00513F1B" w:rsidRDefault="00513F1B" w:rsidP="00513F1B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The Department for Disability Access and Advising at Indiana University of Pennsylvania (D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A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):</w:t>
    </w:r>
  </w:p>
  <w:p w:rsidR="00513F1B" w:rsidRPr="00513F1B" w:rsidRDefault="00513F1B" w:rsidP="00513F1B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“Our students have Determination and Desire to learn; we assist by providing Access and Advising for higher education.”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C" w:rsidRPr="00513F1B" w:rsidRDefault="002E304C" w:rsidP="002E304C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The Department for Disability Access and Advising at Indiana University of Pennsylvania (D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A</w:t>
    </w:r>
    <w:r w:rsidRPr="00513F1B">
      <w:rPr>
        <w:rFonts w:ascii="Open Sans" w:eastAsia="Calibri" w:hAnsi="Open Sans" w:cs="Open Sans"/>
        <w:b/>
        <w:color w:val="9E1B32"/>
        <w:sz w:val="16"/>
        <w:szCs w:val="16"/>
        <w:vertAlign w:val="superscript"/>
      </w:rPr>
      <w:t>2</w:t>
    </w:r>
    <w:r w:rsidRPr="00513F1B">
      <w:rPr>
        <w:rFonts w:ascii="Open Sans" w:eastAsia="Calibri" w:hAnsi="Open Sans" w:cs="Open Sans"/>
        <w:b/>
        <w:color w:val="9E1B32"/>
        <w:sz w:val="16"/>
        <w:szCs w:val="16"/>
      </w:rPr>
      <w:t>):</w:t>
    </w:r>
  </w:p>
  <w:p w:rsidR="002E304C" w:rsidRPr="002E304C" w:rsidRDefault="002E304C" w:rsidP="002E304C">
    <w:pPr>
      <w:tabs>
        <w:tab w:val="left" w:pos="2068"/>
      </w:tabs>
      <w:spacing w:after="0" w:line="240" w:lineRule="auto"/>
      <w:jc w:val="center"/>
      <w:rPr>
        <w:rFonts w:ascii="Open Sans" w:eastAsia="Calibri" w:hAnsi="Open Sans" w:cs="Open Sans"/>
        <w:b/>
        <w:color w:val="9E1B32"/>
        <w:sz w:val="16"/>
        <w:szCs w:val="16"/>
      </w:rPr>
    </w:pPr>
    <w:r w:rsidRPr="00513F1B">
      <w:rPr>
        <w:rFonts w:ascii="Open Sans" w:eastAsia="Calibri" w:hAnsi="Open Sans" w:cs="Open Sans"/>
        <w:b/>
        <w:color w:val="9E1B32"/>
        <w:sz w:val="16"/>
        <w:szCs w:val="16"/>
      </w:rPr>
      <w:t>“Our students have Determination and Desire to learn; we assist by providing Access and Advising for higher education.”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51" w:rsidRDefault="00147D51" w:rsidP="00147D51">
      <w:pPr>
        <w:spacing w:after="0" w:line="240" w:lineRule="auto"/>
      </w:pPr>
      <w:r>
        <w:separator/>
      </w:r>
    </w:p>
  </w:footnote>
  <w:footnote w:type="continuationSeparator" w:id="0">
    <w:p w:rsidR="00147D51" w:rsidRDefault="00147D51" w:rsidP="001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51" w:rsidRDefault="00147D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4F719" wp14:editId="5F0859FD">
          <wp:simplePos x="0" y="0"/>
          <wp:positionH relativeFrom="margin">
            <wp:posOffset>0</wp:posOffset>
          </wp:positionH>
          <wp:positionV relativeFrom="paragraph">
            <wp:posOffset>-51215</wp:posOffset>
          </wp:positionV>
          <wp:extent cx="6696075" cy="12465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2A2 logo with new department name colo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" t="9036"/>
                  <a:stretch/>
                </pic:blipFill>
                <pic:spPr bwMode="auto">
                  <a:xfrm>
                    <a:off x="0" y="0"/>
                    <a:ext cx="6696075" cy="124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147D51">
    <w:pPr>
      <w:pStyle w:val="Header"/>
    </w:pPr>
  </w:p>
  <w:p w:rsidR="00147D51" w:rsidRDefault="008D18F0">
    <w:pPr>
      <w:pStyle w:val="Header"/>
    </w:pPr>
    <w:r w:rsidRPr="00723A74">
      <w:rPr>
        <w:rFonts w:ascii="Open Sans" w:eastAsia="Calibri" w:hAnsi="Open Sans" w:cs="Times New Roman"/>
        <w:noProof/>
        <w:color w:val="9E1B32"/>
        <w:sz w:val="18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BC99D0" wp14:editId="6A65C70F">
              <wp:simplePos x="0" y="0"/>
              <wp:positionH relativeFrom="margin">
                <wp:posOffset>0</wp:posOffset>
              </wp:positionH>
              <wp:positionV relativeFrom="paragraph">
                <wp:posOffset>128270</wp:posOffset>
              </wp:positionV>
              <wp:extent cx="6848475" cy="381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21EA" w:rsidRPr="006A6FA0" w:rsidRDefault="001C21EA" w:rsidP="001C21EA">
                          <w:pPr>
                            <w:pStyle w:val="PageTitle"/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</w:pPr>
                          <w:r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 xml:space="preserve">Teaching </w:t>
                          </w:r>
                          <w:r w:rsidR="00652D78"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>Students with</w:t>
                          </w:r>
                          <w:r w:rsidRPr="006A6FA0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 xml:space="preserve"> </w:t>
                          </w:r>
                          <w:r w:rsidR="00256266">
                            <w:rPr>
                              <w:rFonts w:ascii="Open Sans" w:hAnsi="Open Sans" w:cs="Open Sans"/>
                              <w:sz w:val="33"/>
                              <w:szCs w:val="33"/>
                            </w:rPr>
                            <w:t>Physical and Mobility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C99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.1pt;width:53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" filled="f" stroked="f">
              <v:textbox>
                <w:txbxContent>
                  <w:p w:rsidR="001C21EA" w:rsidRPr="006A6FA0" w:rsidRDefault="001C21EA" w:rsidP="001C21EA">
                    <w:pPr>
                      <w:pStyle w:val="PageTitle"/>
                      <w:rPr>
                        <w:rFonts w:ascii="Open Sans" w:hAnsi="Open Sans" w:cs="Open Sans"/>
                        <w:sz w:val="33"/>
                        <w:szCs w:val="33"/>
                      </w:rPr>
                    </w:pPr>
                    <w:r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 xml:space="preserve">Teaching </w:t>
                    </w:r>
                    <w:r w:rsidR="00652D78"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>Students with</w:t>
                    </w:r>
                    <w:r w:rsidRPr="006A6FA0">
                      <w:rPr>
                        <w:rFonts w:ascii="Open Sans" w:hAnsi="Open Sans" w:cs="Open Sans"/>
                        <w:sz w:val="33"/>
                        <w:szCs w:val="33"/>
                      </w:rPr>
                      <w:t xml:space="preserve"> </w:t>
                    </w:r>
                    <w:r w:rsidR="00256266">
                      <w:rPr>
                        <w:rFonts w:ascii="Open Sans" w:hAnsi="Open Sans" w:cs="Open Sans"/>
                        <w:sz w:val="33"/>
                        <w:szCs w:val="33"/>
                      </w:rPr>
                      <w:t>Physical and Mobility Disabilities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47D51" w:rsidRDefault="00147D51">
    <w:pPr>
      <w:pStyle w:val="Header"/>
    </w:pPr>
  </w:p>
  <w:p w:rsidR="001C21EA" w:rsidRPr="00927785" w:rsidRDefault="001C21EA">
    <w:pPr>
      <w:pStyle w:val="Header"/>
      <w:rPr>
        <w:rFonts w:ascii="Arial" w:hAnsi="Arial" w:cs="Arial"/>
        <w:color w:val="9E1B32"/>
        <w:sz w:val="6"/>
        <w:szCs w:val="12"/>
      </w:rPr>
    </w:pPr>
  </w:p>
  <w:p w:rsidR="001C21EA" w:rsidRPr="00927785" w:rsidRDefault="001C21EA">
    <w:pPr>
      <w:pStyle w:val="Header"/>
      <w:rPr>
        <w:rFonts w:ascii="Arial" w:hAnsi="Arial" w:cs="Arial"/>
        <w:color w:val="9E1B32"/>
        <w:sz w:val="2"/>
        <w:szCs w:val="12"/>
      </w:rPr>
    </w:pPr>
  </w:p>
  <w:p w:rsidR="00147D51" w:rsidRPr="00723A74" w:rsidRDefault="00147D51">
    <w:pPr>
      <w:pStyle w:val="Header"/>
      <w:rPr>
        <w:rFonts w:ascii="Arial" w:hAnsi="Arial" w:cs="Arial"/>
        <w:color w:val="9E1B32"/>
        <w:sz w:val="12"/>
        <w:szCs w:val="12"/>
      </w:rPr>
    </w:pPr>
    <w:r w:rsidRPr="00723A74">
      <w:rPr>
        <w:rFonts w:ascii="Arial" w:hAnsi="Arial" w:cs="Arial"/>
        <w:color w:val="9E1B32"/>
        <w:sz w:val="12"/>
        <w:szCs w:val="12"/>
      </w:rPr>
      <w:t>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CAD"/>
    <w:multiLevelType w:val="hybridMultilevel"/>
    <w:tmpl w:val="4BC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95B"/>
    <w:multiLevelType w:val="hybridMultilevel"/>
    <w:tmpl w:val="F3D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6154"/>
    <w:multiLevelType w:val="multilevel"/>
    <w:tmpl w:val="DCD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B322D"/>
    <w:multiLevelType w:val="multilevel"/>
    <w:tmpl w:val="4C9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87ACD"/>
    <w:multiLevelType w:val="hybridMultilevel"/>
    <w:tmpl w:val="9FF0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BFC"/>
    <w:multiLevelType w:val="multilevel"/>
    <w:tmpl w:val="DCD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A153B"/>
    <w:multiLevelType w:val="multilevel"/>
    <w:tmpl w:val="517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A52D5"/>
    <w:multiLevelType w:val="multilevel"/>
    <w:tmpl w:val="D4D2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017BF"/>
    <w:multiLevelType w:val="multilevel"/>
    <w:tmpl w:val="838A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1"/>
    <w:rsid w:val="0006585A"/>
    <w:rsid w:val="00087BB0"/>
    <w:rsid w:val="00147D51"/>
    <w:rsid w:val="00175C25"/>
    <w:rsid w:val="001B3310"/>
    <w:rsid w:val="001C21EA"/>
    <w:rsid w:val="001F0585"/>
    <w:rsid w:val="002241E9"/>
    <w:rsid w:val="0024556B"/>
    <w:rsid w:val="00253206"/>
    <w:rsid w:val="00256266"/>
    <w:rsid w:val="0028793C"/>
    <w:rsid w:val="002D462F"/>
    <w:rsid w:val="002E304C"/>
    <w:rsid w:val="00321EEE"/>
    <w:rsid w:val="00376EA1"/>
    <w:rsid w:val="003D0F15"/>
    <w:rsid w:val="003F3968"/>
    <w:rsid w:val="004519BF"/>
    <w:rsid w:val="00453D9F"/>
    <w:rsid w:val="004558F3"/>
    <w:rsid w:val="004B3F1E"/>
    <w:rsid w:val="004E5A85"/>
    <w:rsid w:val="004F0965"/>
    <w:rsid w:val="00513F1B"/>
    <w:rsid w:val="005A00CA"/>
    <w:rsid w:val="00652D78"/>
    <w:rsid w:val="00661F46"/>
    <w:rsid w:val="0067594C"/>
    <w:rsid w:val="006A6FA0"/>
    <w:rsid w:val="006B42B6"/>
    <w:rsid w:val="00712C18"/>
    <w:rsid w:val="00723A74"/>
    <w:rsid w:val="0072647F"/>
    <w:rsid w:val="0075722E"/>
    <w:rsid w:val="007903FA"/>
    <w:rsid w:val="007C6219"/>
    <w:rsid w:val="007D5782"/>
    <w:rsid w:val="008C6A97"/>
    <w:rsid w:val="008D18F0"/>
    <w:rsid w:val="00904C14"/>
    <w:rsid w:val="00927785"/>
    <w:rsid w:val="00951618"/>
    <w:rsid w:val="009B6A03"/>
    <w:rsid w:val="009C47C3"/>
    <w:rsid w:val="009F1829"/>
    <w:rsid w:val="00A71F09"/>
    <w:rsid w:val="00AC7196"/>
    <w:rsid w:val="00B33139"/>
    <w:rsid w:val="00C84AF7"/>
    <w:rsid w:val="00CE59EC"/>
    <w:rsid w:val="00D17C0A"/>
    <w:rsid w:val="00D745AD"/>
    <w:rsid w:val="00D81256"/>
    <w:rsid w:val="00D96820"/>
    <w:rsid w:val="00E11481"/>
    <w:rsid w:val="00EB2175"/>
    <w:rsid w:val="00EE0F7C"/>
    <w:rsid w:val="00EE3A22"/>
    <w:rsid w:val="00FC7468"/>
    <w:rsid w:val="00FD5A6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C9127F9-4A31-4688-8A87-6E325BE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51"/>
  </w:style>
  <w:style w:type="paragraph" w:styleId="Footer">
    <w:name w:val="footer"/>
    <w:basedOn w:val="Normal"/>
    <w:link w:val="FooterChar"/>
    <w:uiPriority w:val="99"/>
    <w:unhideWhenUsed/>
    <w:rsid w:val="0014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51"/>
  </w:style>
  <w:style w:type="paragraph" w:customStyle="1" w:styleId="PageTitle">
    <w:name w:val="Page Title"/>
    <w:autoRedefine/>
    <w:qFormat/>
    <w:rsid w:val="001C21EA"/>
    <w:pPr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D17C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tes.allegheny.edu/disabilityservices/students-who-have-mobility-or-dexterity-limitation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adcet.edu.au/inclusive-teaching/specific-disabilities/physical-disa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cessiblecampus.ca/tools-resources/educators-tool-kit/teaching-tips/teaching-students-with-physical-disabilit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ashington.edu/doit/mobility-impairmen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744</Words>
  <Characters>4361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Jessica Rae Wertz</dc:creator>
  <cp:keywords/>
  <dc:description/>
  <cp:lastModifiedBy>Ms. Jessica Rae Wertz</cp:lastModifiedBy>
  <cp:revision>11</cp:revision>
  <cp:lastPrinted>2018-05-08T14:37:00Z</cp:lastPrinted>
  <dcterms:created xsi:type="dcterms:W3CDTF">2018-05-08T15:57:00Z</dcterms:created>
  <dcterms:modified xsi:type="dcterms:W3CDTF">2018-05-09T13:31:00Z</dcterms:modified>
</cp:coreProperties>
</file>